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C3D4" w14:textId="1EF2C6D3" w:rsidR="00B577BE" w:rsidRDefault="00B577BE" w:rsidP="00B577BE">
      <w:pPr>
        <w:pStyle w:val="Singlespace"/>
        <w:jc w:val="both"/>
      </w:pPr>
      <w:bookmarkStart w:id="0" w:name="_Hlk191455846"/>
      <w:bookmarkStart w:id="1" w:name="_Hlk175839940"/>
      <w:r>
        <w:t xml:space="preserve">DISCLAIMER: THIS IS A STANDARD FORM POLICY PROVIDED BY MITA FOR THE BENEFIT OF MITA MEMBERS AND SHOULD BE REVIEWED PERIODICALLY FOR ANY REQUIRED LEGAL UPDATES. SHOULD YOU HAVE ANY QUESTIONS OR NEED ANY OF THE POLICIES CONTAINED HEREIN TAILORED, PLEASE CONTACT AARON GRAVES AT BODMAN PLC: </w:t>
      </w:r>
      <w:hyperlink r:id="rId7" w:history="1">
        <w:r w:rsidRPr="00894242">
          <w:rPr>
            <w:rStyle w:val="Hyperlink"/>
          </w:rPr>
          <w:t>agraves@bodmanlaw.com</w:t>
        </w:r>
      </w:hyperlink>
      <w:r>
        <w:t xml:space="preserve">; 313-392-1075. </w:t>
      </w:r>
    </w:p>
    <w:p w14:paraId="7AFC5ED8" w14:textId="77777777" w:rsidR="00B577BE" w:rsidRPr="00B577BE" w:rsidRDefault="00B577BE" w:rsidP="00B577BE">
      <w:pPr>
        <w:pStyle w:val="Singlespace"/>
      </w:pPr>
    </w:p>
    <w:p w14:paraId="7A48ED97" w14:textId="1DBA0E3C" w:rsidR="00FB702D" w:rsidRPr="00FB702D" w:rsidRDefault="00FB702D" w:rsidP="00FB702D">
      <w:pPr>
        <w:pStyle w:val="BodyTextBLLP"/>
        <w:ind w:firstLine="0"/>
        <w:rPr>
          <w:sz w:val="23"/>
          <w:szCs w:val="23"/>
        </w:rPr>
      </w:pPr>
      <w:r w:rsidRPr="00FB702D">
        <w:rPr>
          <w:sz w:val="23"/>
          <w:szCs w:val="23"/>
        </w:rPr>
        <w:t xml:space="preserve">All </w:t>
      </w:r>
      <w:r w:rsidR="0022307B">
        <w:rPr>
          <w:sz w:val="23"/>
          <w:szCs w:val="23"/>
        </w:rPr>
        <w:t xml:space="preserve">regular full-time </w:t>
      </w:r>
      <w:r w:rsidRPr="00FB702D">
        <w:rPr>
          <w:sz w:val="23"/>
          <w:szCs w:val="23"/>
        </w:rPr>
        <w:t xml:space="preserve">employees </w:t>
      </w:r>
      <w:r w:rsidR="0022307B">
        <w:rPr>
          <w:sz w:val="23"/>
          <w:szCs w:val="23"/>
        </w:rPr>
        <w:t xml:space="preserve">are credited with </w:t>
      </w:r>
      <w:r w:rsidR="003103FC">
        <w:rPr>
          <w:sz w:val="23"/>
          <w:szCs w:val="23"/>
        </w:rPr>
        <w:t>72 hours of</w:t>
      </w:r>
      <w:r w:rsidRPr="00FB702D">
        <w:rPr>
          <w:sz w:val="23"/>
          <w:szCs w:val="23"/>
        </w:rPr>
        <w:t xml:space="preserve"> </w:t>
      </w:r>
      <w:r w:rsidR="00BD0F99">
        <w:rPr>
          <w:sz w:val="23"/>
          <w:szCs w:val="23"/>
        </w:rPr>
        <w:t xml:space="preserve">PTO </w:t>
      </w:r>
      <w:r w:rsidRPr="00FB702D">
        <w:rPr>
          <w:sz w:val="23"/>
          <w:szCs w:val="23"/>
        </w:rPr>
        <w:t>on their first day of employment</w:t>
      </w:r>
      <w:r w:rsidR="00B654C2">
        <w:rPr>
          <w:sz w:val="23"/>
          <w:szCs w:val="23"/>
        </w:rPr>
        <w:t xml:space="preserve"> </w:t>
      </w:r>
      <w:r w:rsidR="0022307B">
        <w:rPr>
          <w:sz w:val="23"/>
          <w:szCs w:val="23"/>
        </w:rPr>
        <w:t>in accordance with Michigan’s Earned Sick Time Act (ESTA)</w:t>
      </w:r>
      <w:r w:rsidRPr="00FB702D">
        <w:rPr>
          <w:sz w:val="23"/>
          <w:szCs w:val="23"/>
        </w:rPr>
        <w:t>.</w:t>
      </w:r>
      <w:r w:rsidR="00B654C2">
        <w:rPr>
          <w:sz w:val="23"/>
          <w:szCs w:val="23"/>
        </w:rPr>
        <w:t xml:space="preserve">  </w:t>
      </w:r>
      <w:r w:rsidR="0022307B">
        <w:rPr>
          <w:sz w:val="23"/>
          <w:szCs w:val="23"/>
        </w:rPr>
        <w:t xml:space="preserve">Each anniversary date of hire, regular full-time employees are credited with an additional 72 </w:t>
      </w:r>
      <w:r w:rsidR="00BA4CCB">
        <w:rPr>
          <w:sz w:val="23"/>
          <w:szCs w:val="23"/>
        </w:rPr>
        <w:t xml:space="preserve">hours of PTO. </w:t>
      </w:r>
      <w:r w:rsidR="0022307B">
        <w:rPr>
          <w:sz w:val="23"/>
          <w:szCs w:val="23"/>
        </w:rPr>
        <w:t xml:space="preserve"> </w:t>
      </w:r>
      <w:r w:rsidR="00BA4CCB">
        <w:rPr>
          <w:sz w:val="23"/>
          <w:szCs w:val="23"/>
        </w:rPr>
        <w:t xml:space="preserve">Part-time employees and others eligible for PTO under ESTA shall be credited with PTO on a prorated basis.  </w:t>
      </w:r>
      <w:r w:rsidR="0022307B">
        <w:rPr>
          <w:sz w:val="23"/>
          <w:szCs w:val="23"/>
        </w:rPr>
        <w:t xml:space="preserve">[FOR EMPLOYERS WITH </w:t>
      </w:r>
      <w:r w:rsidR="008020A5">
        <w:rPr>
          <w:sz w:val="23"/>
          <w:szCs w:val="23"/>
        </w:rPr>
        <w:t xml:space="preserve">TEN OR </w:t>
      </w:r>
      <w:r w:rsidR="0022307B">
        <w:rPr>
          <w:sz w:val="23"/>
          <w:szCs w:val="23"/>
        </w:rPr>
        <w:t>FEWER ONLY –</w:t>
      </w:r>
      <w:r w:rsidR="008020A5">
        <w:rPr>
          <w:sz w:val="23"/>
          <w:szCs w:val="23"/>
        </w:rPr>
        <w:t xml:space="preserve"> SUBSTITUTE </w:t>
      </w:r>
      <w:r w:rsidR="0022307B">
        <w:rPr>
          <w:sz w:val="23"/>
          <w:szCs w:val="23"/>
        </w:rPr>
        <w:t xml:space="preserve">40 </w:t>
      </w:r>
      <w:r w:rsidR="008020A5">
        <w:rPr>
          <w:sz w:val="23"/>
          <w:szCs w:val="23"/>
        </w:rPr>
        <w:t>HOURS</w:t>
      </w:r>
      <w:r w:rsidR="0022307B">
        <w:rPr>
          <w:sz w:val="23"/>
          <w:szCs w:val="23"/>
        </w:rPr>
        <w:t>.</w:t>
      </w:r>
      <w:r w:rsidR="008020A5">
        <w:rPr>
          <w:sz w:val="23"/>
          <w:szCs w:val="23"/>
        </w:rPr>
        <w:t xml:space="preserve">  NO WAITING PERIOD PRIOR TO USE IS PERMITTED FOR NEW HIRES.</w:t>
      </w:r>
      <w:r w:rsidR="0022307B">
        <w:rPr>
          <w:sz w:val="23"/>
          <w:szCs w:val="23"/>
        </w:rPr>
        <w:t>]</w:t>
      </w:r>
    </w:p>
    <w:bookmarkEnd w:id="0"/>
    <w:p w14:paraId="5ACFC140" w14:textId="19A7DC8D" w:rsidR="00FB702D" w:rsidRPr="00FB702D" w:rsidRDefault="00BA4CCB" w:rsidP="00FB702D">
      <w:pPr>
        <w:pStyle w:val="BodyTextBLLP"/>
        <w:ind w:firstLine="0"/>
        <w:rPr>
          <w:sz w:val="23"/>
          <w:szCs w:val="23"/>
        </w:rPr>
      </w:pPr>
      <w:r>
        <w:rPr>
          <w:sz w:val="23"/>
          <w:szCs w:val="23"/>
        </w:rPr>
        <w:t xml:space="preserve">[OPTION 1] - </w:t>
      </w:r>
      <w:r w:rsidR="00FB702D" w:rsidRPr="00FB702D">
        <w:rPr>
          <w:sz w:val="23"/>
          <w:szCs w:val="23"/>
        </w:rPr>
        <w:t xml:space="preserve">Each calendar year, employees may utilize up to 72 hours of </w:t>
      </w:r>
      <w:r w:rsidR="004339F0">
        <w:rPr>
          <w:sz w:val="23"/>
          <w:szCs w:val="23"/>
        </w:rPr>
        <w:t xml:space="preserve">Paid </w:t>
      </w:r>
      <w:r w:rsidR="00FB702D" w:rsidRPr="00FB702D">
        <w:rPr>
          <w:sz w:val="23"/>
          <w:szCs w:val="23"/>
        </w:rPr>
        <w:t>Time</w:t>
      </w:r>
      <w:r w:rsidR="004339F0">
        <w:rPr>
          <w:sz w:val="23"/>
          <w:szCs w:val="23"/>
        </w:rPr>
        <w:t xml:space="preserve"> Off</w:t>
      </w:r>
      <w:r w:rsidR="00FB702D" w:rsidRPr="00FB702D">
        <w:rPr>
          <w:sz w:val="23"/>
          <w:szCs w:val="23"/>
        </w:rPr>
        <w:t xml:space="preserve"> for the following reasons</w:t>
      </w:r>
      <w:proofErr w:type="gramStart"/>
      <w:r w:rsidR="00FB702D" w:rsidRPr="00FB702D">
        <w:rPr>
          <w:sz w:val="23"/>
          <w:szCs w:val="23"/>
        </w:rPr>
        <w:t>:</w:t>
      </w:r>
      <w:r w:rsidR="00E96A79">
        <w:rPr>
          <w:sz w:val="23"/>
          <w:szCs w:val="23"/>
        </w:rPr>
        <w:t xml:space="preserve">  </w:t>
      </w:r>
      <w:r w:rsidR="00E96A79">
        <w:rPr>
          <w:sz w:val="23"/>
          <w:szCs w:val="23"/>
        </w:rPr>
        <w:t>[</w:t>
      </w:r>
      <w:proofErr w:type="gramEnd"/>
      <w:r w:rsidR="00E96A79">
        <w:rPr>
          <w:sz w:val="23"/>
          <w:szCs w:val="23"/>
        </w:rPr>
        <w:t>FOR EMPLOYERS WITH TEN OR FEWER ONLY – SUBSTITUTE 40 HOURS.]</w:t>
      </w:r>
    </w:p>
    <w:p w14:paraId="25BA53D1" w14:textId="54D4996B" w:rsidR="004339F0" w:rsidRDefault="004339F0" w:rsidP="00FB702D">
      <w:pPr>
        <w:pStyle w:val="BodyTextBLLP"/>
        <w:numPr>
          <w:ilvl w:val="0"/>
          <w:numId w:val="16"/>
        </w:numPr>
        <w:rPr>
          <w:sz w:val="23"/>
          <w:szCs w:val="23"/>
        </w:rPr>
      </w:pPr>
      <w:proofErr w:type="gramStart"/>
      <w:r>
        <w:rPr>
          <w:sz w:val="23"/>
          <w:szCs w:val="23"/>
        </w:rPr>
        <w:t>Vacation</w:t>
      </w:r>
      <w:r w:rsidR="00883C6D">
        <w:rPr>
          <w:sz w:val="23"/>
          <w:szCs w:val="23"/>
        </w:rPr>
        <w:t>;</w:t>
      </w:r>
      <w:proofErr w:type="gramEnd"/>
    </w:p>
    <w:p w14:paraId="77F331AE" w14:textId="2D090BE3" w:rsidR="00883C6D" w:rsidRDefault="00883C6D" w:rsidP="00FB702D">
      <w:pPr>
        <w:pStyle w:val="BodyTextBLLP"/>
        <w:numPr>
          <w:ilvl w:val="0"/>
          <w:numId w:val="16"/>
        </w:numPr>
        <w:rPr>
          <w:sz w:val="23"/>
          <w:szCs w:val="23"/>
        </w:rPr>
      </w:pPr>
      <w:r>
        <w:rPr>
          <w:sz w:val="23"/>
          <w:szCs w:val="23"/>
        </w:rPr>
        <w:t xml:space="preserve">Personal </w:t>
      </w:r>
      <w:proofErr w:type="gramStart"/>
      <w:r>
        <w:rPr>
          <w:sz w:val="23"/>
          <w:szCs w:val="23"/>
        </w:rPr>
        <w:t>Time;</w:t>
      </w:r>
      <w:proofErr w:type="gramEnd"/>
    </w:p>
    <w:p w14:paraId="6F3596C7" w14:textId="709F2E26" w:rsidR="00FB702D" w:rsidRPr="00FB702D" w:rsidRDefault="00FB702D" w:rsidP="00FB702D">
      <w:pPr>
        <w:pStyle w:val="BodyTextBLLP"/>
        <w:numPr>
          <w:ilvl w:val="0"/>
          <w:numId w:val="16"/>
        </w:numPr>
        <w:rPr>
          <w:sz w:val="23"/>
          <w:szCs w:val="23"/>
        </w:rPr>
      </w:pPr>
      <w:r w:rsidRPr="00FB702D">
        <w:rPr>
          <w:sz w:val="23"/>
          <w:szCs w:val="23"/>
        </w:rPr>
        <w:t xml:space="preserve">The employee’s mental or physical illness, injury, or health condition; medical diagnosis, care, or treatment of the employee’s mental or physical illness, injury, or health condition; or preventative medical care for the </w:t>
      </w:r>
      <w:proofErr w:type="gramStart"/>
      <w:r w:rsidRPr="00FB702D">
        <w:rPr>
          <w:sz w:val="23"/>
          <w:szCs w:val="23"/>
        </w:rPr>
        <w:t>employee;</w:t>
      </w:r>
      <w:proofErr w:type="gramEnd"/>
    </w:p>
    <w:p w14:paraId="75E64B06" w14:textId="77777777" w:rsidR="00FB702D" w:rsidRPr="00FB702D" w:rsidRDefault="00FB702D" w:rsidP="00FB702D">
      <w:pPr>
        <w:pStyle w:val="BodyTextBLLP"/>
        <w:numPr>
          <w:ilvl w:val="0"/>
          <w:numId w:val="16"/>
        </w:numPr>
        <w:rPr>
          <w:sz w:val="23"/>
          <w:szCs w:val="23"/>
        </w:rPr>
      </w:pPr>
      <w:r w:rsidRPr="00FB702D">
        <w:rPr>
          <w:sz w:val="23"/>
          <w:szCs w:val="23"/>
        </w:rPr>
        <w:t xml:space="preserve">The employee’s family member’s mental or physical illness, injury, or health condition; medical diagnosis, care, or treatment of the employee’s family member’s mental or physical illness, injury, or health condition; or preventative medical care for the employee’s family </w:t>
      </w:r>
      <w:proofErr w:type="gramStart"/>
      <w:r w:rsidRPr="00FB702D">
        <w:rPr>
          <w:sz w:val="23"/>
          <w:szCs w:val="23"/>
        </w:rPr>
        <w:t>member;</w:t>
      </w:r>
      <w:proofErr w:type="gramEnd"/>
    </w:p>
    <w:p w14:paraId="1ED91367" w14:textId="77777777" w:rsidR="00FB702D" w:rsidRPr="00FB702D" w:rsidRDefault="00FB702D" w:rsidP="00FB702D">
      <w:pPr>
        <w:pStyle w:val="BodyTextBLLP"/>
        <w:numPr>
          <w:ilvl w:val="0"/>
          <w:numId w:val="16"/>
        </w:numPr>
        <w:rPr>
          <w:sz w:val="23"/>
          <w:szCs w:val="23"/>
        </w:rPr>
      </w:pPr>
      <w:r w:rsidRPr="00FB702D">
        <w:rPr>
          <w:sz w:val="23"/>
          <w:szCs w:val="23"/>
        </w:rPr>
        <w:t>If the employee or the employee’s family member is the victim of domestic violence or sexual assault, for the medical care or psychological or other counseling for physical or psychological injury or disability; to obtain services from a victim services organization; to relocate due to domestic violence or sexual assault; to obtain legal services; or to participate in any civil or criminal proceedings related to or resulting from the domestic violence or sexual assault;</w:t>
      </w:r>
    </w:p>
    <w:p w14:paraId="08CA1164" w14:textId="77777777" w:rsidR="00FB702D" w:rsidRPr="00FB702D" w:rsidRDefault="00FB702D" w:rsidP="00FB702D">
      <w:pPr>
        <w:pStyle w:val="BodyTextBLLP"/>
        <w:numPr>
          <w:ilvl w:val="0"/>
          <w:numId w:val="16"/>
        </w:numPr>
        <w:rPr>
          <w:sz w:val="23"/>
          <w:szCs w:val="23"/>
        </w:rPr>
      </w:pPr>
      <w:r w:rsidRPr="00FB702D">
        <w:rPr>
          <w:sz w:val="23"/>
          <w:szCs w:val="23"/>
        </w:rPr>
        <w:t>For meetings at the employee’s child’s school or place of care related to the child’s health or disability, or the effects of domestic violence or sexual assault on the child; or</w:t>
      </w:r>
    </w:p>
    <w:p w14:paraId="5420BFBD" w14:textId="7372AC8E" w:rsidR="00FB702D" w:rsidRPr="00FB702D" w:rsidRDefault="00FB702D" w:rsidP="00FB702D">
      <w:pPr>
        <w:pStyle w:val="BodyTextBLLP"/>
        <w:numPr>
          <w:ilvl w:val="0"/>
          <w:numId w:val="16"/>
        </w:numPr>
        <w:rPr>
          <w:sz w:val="23"/>
          <w:szCs w:val="23"/>
        </w:rPr>
      </w:pPr>
      <w:r w:rsidRPr="00FB702D">
        <w:rPr>
          <w:sz w:val="23"/>
          <w:szCs w:val="23"/>
        </w:rPr>
        <w:t xml:space="preserve">For the closure of the employee’s place of business by order of a public official due to a public health emergency; for an employee’s need to care for a child whose school or place of care has been closed by order of a public health official due to a public health emergency; or when it has been determined by the health authorities having jurisdiction or </w:t>
      </w:r>
      <w:r w:rsidRPr="00FB702D">
        <w:rPr>
          <w:sz w:val="23"/>
          <w:szCs w:val="23"/>
        </w:rPr>
        <w:lastRenderedPageBreak/>
        <w:t>by a health care provider that the employee or employee’s family member’s presence in the community would jeopardize the health of others because of exposure to a communicable disease.</w:t>
      </w:r>
    </w:p>
    <w:p w14:paraId="478824FA" w14:textId="3F03598D" w:rsidR="00BA4CCB" w:rsidRPr="00FB702D" w:rsidRDefault="0022307B" w:rsidP="00BA4CCB">
      <w:pPr>
        <w:pStyle w:val="BodyTextBLLP"/>
        <w:ind w:firstLine="0"/>
        <w:rPr>
          <w:sz w:val="23"/>
          <w:szCs w:val="23"/>
        </w:rPr>
      </w:pPr>
      <w:r>
        <w:rPr>
          <w:sz w:val="23"/>
          <w:szCs w:val="23"/>
        </w:rPr>
        <w:t>[OPTION 2]</w:t>
      </w:r>
      <w:r w:rsidR="00BA4CCB">
        <w:rPr>
          <w:sz w:val="23"/>
          <w:szCs w:val="23"/>
        </w:rPr>
        <w:t xml:space="preserve"> - </w:t>
      </w:r>
      <w:r w:rsidR="00BA4CCB" w:rsidRPr="00FB702D">
        <w:rPr>
          <w:sz w:val="23"/>
          <w:szCs w:val="23"/>
        </w:rPr>
        <w:t xml:space="preserve">Each calendar year, employees may utilize up to 72 hours of </w:t>
      </w:r>
      <w:r w:rsidR="00BA4CCB">
        <w:rPr>
          <w:sz w:val="23"/>
          <w:szCs w:val="23"/>
        </w:rPr>
        <w:t xml:space="preserve">Paid </w:t>
      </w:r>
      <w:r w:rsidR="00BA4CCB" w:rsidRPr="00FB702D">
        <w:rPr>
          <w:sz w:val="23"/>
          <w:szCs w:val="23"/>
        </w:rPr>
        <w:t>Time</w:t>
      </w:r>
      <w:r w:rsidR="00BA4CCB">
        <w:rPr>
          <w:sz w:val="23"/>
          <w:szCs w:val="23"/>
        </w:rPr>
        <w:t xml:space="preserve"> Off</w:t>
      </w:r>
      <w:r w:rsidR="00BA4CCB" w:rsidRPr="00FB702D">
        <w:rPr>
          <w:sz w:val="23"/>
          <w:szCs w:val="23"/>
        </w:rPr>
        <w:t xml:space="preserve"> for </w:t>
      </w:r>
      <w:r w:rsidR="00C57BBD">
        <w:rPr>
          <w:sz w:val="23"/>
          <w:szCs w:val="23"/>
        </w:rPr>
        <w:t xml:space="preserve">ESTA </w:t>
      </w:r>
      <w:r w:rsidR="00BA4CCB">
        <w:rPr>
          <w:sz w:val="23"/>
          <w:szCs w:val="23"/>
        </w:rPr>
        <w:t xml:space="preserve">qualifying </w:t>
      </w:r>
      <w:r w:rsidR="00C57BBD">
        <w:rPr>
          <w:sz w:val="23"/>
          <w:szCs w:val="23"/>
        </w:rPr>
        <w:t>purposes</w:t>
      </w:r>
      <w:r w:rsidR="00BA4CCB">
        <w:rPr>
          <w:sz w:val="23"/>
          <w:szCs w:val="23"/>
        </w:rPr>
        <w:t>.</w:t>
      </w:r>
      <w:r w:rsidR="00E96A79">
        <w:rPr>
          <w:sz w:val="23"/>
          <w:szCs w:val="23"/>
        </w:rPr>
        <w:t xml:space="preserve">  </w:t>
      </w:r>
      <w:r w:rsidR="00E96A79">
        <w:rPr>
          <w:sz w:val="23"/>
          <w:szCs w:val="23"/>
        </w:rPr>
        <w:t>[FOR EMPLOYERS WITH TEN OR FEWER ONLY – SUBSTITUTE 40 HOURS.]</w:t>
      </w:r>
    </w:p>
    <w:p w14:paraId="0768A95A" w14:textId="178CE18B" w:rsidR="00FB702D" w:rsidRPr="00FB702D" w:rsidRDefault="00FB702D" w:rsidP="00FB702D">
      <w:pPr>
        <w:pStyle w:val="BodyTextBLLP"/>
        <w:ind w:firstLine="0"/>
        <w:rPr>
          <w:sz w:val="23"/>
          <w:szCs w:val="23"/>
        </w:rPr>
      </w:pPr>
      <w:r w:rsidRPr="00FB702D">
        <w:rPr>
          <w:sz w:val="23"/>
          <w:szCs w:val="23"/>
        </w:rPr>
        <w:t xml:space="preserve">Employees may utilize </w:t>
      </w:r>
      <w:r w:rsidR="00883C6D">
        <w:rPr>
          <w:sz w:val="23"/>
          <w:szCs w:val="23"/>
        </w:rPr>
        <w:t xml:space="preserve">PTO </w:t>
      </w:r>
      <w:r w:rsidRPr="00FB702D">
        <w:rPr>
          <w:sz w:val="23"/>
          <w:szCs w:val="23"/>
        </w:rPr>
        <w:t xml:space="preserve">in </w:t>
      </w:r>
      <w:r w:rsidR="00BA4CCB">
        <w:rPr>
          <w:sz w:val="23"/>
          <w:szCs w:val="23"/>
        </w:rPr>
        <w:t>[</w:t>
      </w:r>
      <w:r w:rsidR="008020A5">
        <w:rPr>
          <w:sz w:val="22"/>
          <w:szCs w:val="22"/>
        </w:rPr>
        <w:t xml:space="preserve">INSERT DESIRED INCREMENT.  CAN BE NO GREATER THAN </w:t>
      </w:r>
      <w:r w:rsidR="008020A5" w:rsidRPr="00B404C8">
        <w:rPr>
          <w:sz w:val="22"/>
          <w:szCs w:val="22"/>
        </w:rPr>
        <w:t>ONE HOUR</w:t>
      </w:r>
      <w:r w:rsidR="008020A5">
        <w:rPr>
          <w:sz w:val="22"/>
          <w:szCs w:val="22"/>
        </w:rPr>
        <w:t>.</w:t>
      </w:r>
      <w:r w:rsidR="00BA4CCB">
        <w:rPr>
          <w:sz w:val="23"/>
          <w:szCs w:val="23"/>
        </w:rPr>
        <w:t xml:space="preserve">] </w:t>
      </w:r>
      <w:r w:rsidRPr="00FB702D">
        <w:rPr>
          <w:sz w:val="23"/>
          <w:szCs w:val="23"/>
        </w:rPr>
        <w:t xml:space="preserve">increments. </w:t>
      </w:r>
      <w:r w:rsidR="00BA4CCB">
        <w:rPr>
          <w:sz w:val="23"/>
          <w:szCs w:val="23"/>
        </w:rPr>
        <w:t xml:space="preserve"> </w:t>
      </w:r>
    </w:p>
    <w:p w14:paraId="06436CA8" w14:textId="12BC2991" w:rsidR="00FB702D" w:rsidRPr="00FB702D" w:rsidRDefault="00BA4CCB" w:rsidP="00FB702D">
      <w:pPr>
        <w:pStyle w:val="BodyTextBLLP"/>
        <w:ind w:firstLine="0"/>
        <w:rPr>
          <w:sz w:val="23"/>
          <w:szCs w:val="23"/>
        </w:rPr>
      </w:pPr>
      <w:r>
        <w:rPr>
          <w:sz w:val="23"/>
          <w:szCs w:val="23"/>
        </w:rPr>
        <w:t xml:space="preserve">Credited </w:t>
      </w:r>
      <w:r w:rsidR="00FB702D" w:rsidRPr="00FB702D">
        <w:rPr>
          <w:sz w:val="23"/>
          <w:szCs w:val="23"/>
        </w:rPr>
        <w:t xml:space="preserve">but unused </w:t>
      </w:r>
      <w:r w:rsidR="00883C6D">
        <w:rPr>
          <w:sz w:val="23"/>
          <w:szCs w:val="23"/>
        </w:rPr>
        <w:t>PTO</w:t>
      </w:r>
      <w:r w:rsidR="00FB702D" w:rsidRPr="00FB702D">
        <w:rPr>
          <w:sz w:val="23"/>
          <w:szCs w:val="23"/>
        </w:rPr>
        <w:t xml:space="preserve"> will </w:t>
      </w:r>
      <w:r w:rsidR="00081FA3">
        <w:rPr>
          <w:sz w:val="23"/>
          <w:szCs w:val="23"/>
        </w:rPr>
        <w:t xml:space="preserve">not </w:t>
      </w:r>
      <w:r w:rsidR="00FB702D" w:rsidRPr="00FB702D">
        <w:rPr>
          <w:sz w:val="23"/>
          <w:szCs w:val="23"/>
        </w:rPr>
        <w:t>carry over from year to year</w:t>
      </w:r>
      <w:r w:rsidR="00081FA3">
        <w:rPr>
          <w:sz w:val="23"/>
          <w:szCs w:val="23"/>
        </w:rPr>
        <w:t xml:space="preserve">, </w:t>
      </w:r>
      <w:r w:rsidR="008020A5">
        <w:rPr>
          <w:sz w:val="23"/>
          <w:szCs w:val="23"/>
        </w:rPr>
        <w:t xml:space="preserve">is not paid out annually, </w:t>
      </w:r>
      <w:r w:rsidR="00081FA3">
        <w:rPr>
          <w:sz w:val="23"/>
          <w:szCs w:val="23"/>
        </w:rPr>
        <w:t xml:space="preserve">and </w:t>
      </w:r>
      <w:r w:rsidR="00FB702D" w:rsidRPr="00FB702D">
        <w:rPr>
          <w:sz w:val="23"/>
          <w:szCs w:val="23"/>
        </w:rPr>
        <w:t>is not paid out upon termination of employment.</w:t>
      </w:r>
    </w:p>
    <w:p w14:paraId="5A3C78D6" w14:textId="51CB42C9" w:rsidR="00983586" w:rsidRPr="00FB702D" w:rsidRDefault="00FB702D" w:rsidP="00FB702D">
      <w:pPr>
        <w:pStyle w:val="BodyTextBLLP"/>
        <w:ind w:firstLine="0"/>
        <w:rPr>
          <w:sz w:val="23"/>
          <w:szCs w:val="23"/>
        </w:rPr>
      </w:pPr>
      <w:r w:rsidRPr="00FB702D">
        <w:rPr>
          <w:sz w:val="23"/>
          <w:szCs w:val="23"/>
        </w:rPr>
        <w:t xml:space="preserve">If the employee’s need for </w:t>
      </w:r>
      <w:r w:rsidR="00883C6D">
        <w:rPr>
          <w:sz w:val="23"/>
          <w:szCs w:val="23"/>
        </w:rPr>
        <w:t>PTO</w:t>
      </w:r>
      <w:r w:rsidRPr="00FB702D">
        <w:rPr>
          <w:sz w:val="23"/>
          <w:szCs w:val="23"/>
        </w:rPr>
        <w:t xml:space="preserve"> is foreseeable, the Company requires 7 days’ advance notice to ensure proper staffing levels. </w:t>
      </w:r>
      <w:r w:rsidR="00BA4CCB">
        <w:rPr>
          <w:sz w:val="23"/>
          <w:szCs w:val="23"/>
        </w:rPr>
        <w:t xml:space="preserve"> </w:t>
      </w:r>
      <w:r w:rsidRPr="00FB702D">
        <w:rPr>
          <w:sz w:val="23"/>
          <w:szCs w:val="23"/>
        </w:rPr>
        <w:t xml:space="preserve">If the need for </w:t>
      </w:r>
      <w:r w:rsidR="00883C6D">
        <w:rPr>
          <w:sz w:val="23"/>
          <w:szCs w:val="23"/>
        </w:rPr>
        <w:t>PTO</w:t>
      </w:r>
      <w:r w:rsidRPr="00FB702D">
        <w:rPr>
          <w:sz w:val="23"/>
          <w:szCs w:val="23"/>
        </w:rPr>
        <w:t xml:space="preserve"> is unforeseeable, the Company requires that the employee notify their supervisor as soon as practicable. </w:t>
      </w:r>
      <w:r w:rsidR="00BA4CCB">
        <w:rPr>
          <w:sz w:val="23"/>
          <w:szCs w:val="23"/>
        </w:rPr>
        <w:t xml:space="preserve"> </w:t>
      </w:r>
      <w:r w:rsidR="008020A5">
        <w:rPr>
          <w:sz w:val="22"/>
          <w:szCs w:val="22"/>
        </w:rPr>
        <w:t xml:space="preserve">[CAN ADD NOTICE REQUIREMENTS.  DISCIPLINE FOR LACK OF NOTICE IS PERMITTED.  DISCIPLINE FOR AN ESTA COVERED ABSENCES WHEN EST IS AVAILABLE IS NOT PERMITTED.]  </w:t>
      </w:r>
      <w:r w:rsidRPr="00FB702D">
        <w:rPr>
          <w:sz w:val="23"/>
          <w:szCs w:val="23"/>
        </w:rPr>
        <w:t xml:space="preserve">The Company reserves the right to require documentation to substantiate the employee’s use of </w:t>
      </w:r>
      <w:r w:rsidR="00883C6D">
        <w:rPr>
          <w:sz w:val="23"/>
          <w:szCs w:val="23"/>
        </w:rPr>
        <w:t>PTO</w:t>
      </w:r>
      <w:r w:rsidRPr="00FB702D">
        <w:rPr>
          <w:sz w:val="23"/>
          <w:szCs w:val="23"/>
        </w:rPr>
        <w:t>.</w:t>
      </w:r>
      <w:bookmarkEnd w:id="1"/>
      <w:r w:rsidR="00BA4CCB">
        <w:rPr>
          <w:sz w:val="23"/>
          <w:szCs w:val="23"/>
        </w:rPr>
        <w:t xml:space="preserve">  [CAN ONLY REQUIRE DOCUMENTATION FOR ABSENCES OF THREE OF MORE CONSECUTIVE DAYS AND MUST PAY ALL RELATED EXPENSES].</w:t>
      </w:r>
    </w:p>
    <w:sectPr w:rsidR="00983586" w:rsidRPr="00FB702D" w:rsidSect="008736F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9EE0" w14:textId="77777777" w:rsidR="007C52E3" w:rsidRDefault="007C52E3">
      <w:r>
        <w:separator/>
      </w:r>
    </w:p>
  </w:endnote>
  <w:endnote w:type="continuationSeparator" w:id="0">
    <w:p w14:paraId="4AA28469" w14:textId="77777777" w:rsidR="007C52E3" w:rsidRDefault="007C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593E" w14:textId="77777777" w:rsidR="007A05BE" w:rsidRDefault="007A05BE" w:rsidP="00F00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r>
      <w:rPr>
        <w:rStyle w:val="PageNumber"/>
      </w:rPr>
      <w:t>111</w:t>
    </w:r>
  </w:p>
  <w:bookmarkStart w:id="2" w:name="_iDocIDField84f5c45b-a2d9-4682-9c31-2a99"/>
  <w:p w14:paraId="41487D2F" w14:textId="77777777" w:rsidR="007A05BE" w:rsidRDefault="007A05BE">
    <w:pPr>
      <w:pStyle w:val="DocID"/>
    </w:pPr>
    <w:r>
      <w:fldChar w:fldCharType="begin"/>
    </w:r>
    <w:r>
      <w:instrText xml:space="preserve">  DOCPROPERTY "CUS_DocIDChunk0" </w:instrText>
    </w:r>
    <w:r>
      <w:fldChar w:fldCharType="separate"/>
    </w:r>
    <w:r>
      <w:rPr>
        <w:noProof/>
      </w:rPr>
      <w:t>4928-5119-6982_1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D783" w14:textId="77777777" w:rsidR="007A05BE" w:rsidRPr="00E832B2" w:rsidRDefault="007A05BE" w:rsidP="00E832B2">
    <w:pPr>
      <w:pStyle w:val="Footer"/>
      <w:jc w:val="center"/>
      <w:rPr>
        <w:sz w:val="24"/>
        <w:szCs w:val="24"/>
      </w:rPr>
    </w:pPr>
    <w:r w:rsidRPr="008736FC">
      <w:rPr>
        <w:sz w:val="24"/>
        <w:szCs w:val="24"/>
      </w:rPr>
      <w:fldChar w:fldCharType="begin"/>
    </w:r>
    <w:r w:rsidRPr="008736FC">
      <w:rPr>
        <w:sz w:val="24"/>
        <w:szCs w:val="24"/>
      </w:rPr>
      <w:instrText xml:space="preserve"> PAGE   \* MERGEFORMAT </w:instrText>
    </w:r>
    <w:r w:rsidRPr="008736FC">
      <w:rPr>
        <w:sz w:val="24"/>
        <w:szCs w:val="24"/>
      </w:rPr>
      <w:fldChar w:fldCharType="separate"/>
    </w:r>
    <w:r>
      <w:t>1</w:t>
    </w:r>
    <w:r w:rsidRPr="008736FC">
      <w:rPr>
        <w:noProof/>
        <w:sz w:val="24"/>
        <w:szCs w:val="24"/>
      </w:rPr>
      <w:fldChar w:fldCharType="end"/>
    </w:r>
  </w:p>
  <w:bookmarkStart w:id="3" w:name="_iDocIDField3630aa50-d084-431b-8cb8-d35f"/>
  <w:p w14:paraId="758B83D8" w14:textId="77777777" w:rsidR="007A05BE" w:rsidRDefault="007A05BE">
    <w:pPr>
      <w:pStyle w:val="DocID"/>
    </w:pPr>
    <w:r>
      <w:fldChar w:fldCharType="begin"/>
    </w:r>
    <w:r>
      <w:instrText xml:space="preserve">  DOCPROPERTY "CUS_DocIDChunk0" </w:instrText>
    </w:r>
    <w:r>
      <w:fldChar w:fldCharType="separate"/>
    </w:r>
    <w:r>
      <w:rPr>
        <w:noProof/>
      </w:rPr>
      <w:t>4928-5119-6982_1</w:t>
    </w:r>
    <w:r>
      <w:fldChar w:fldCharType="end"/>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iDocIDField69d23239-4ab2-43cd-aba6-823a"/>
  <w:p w14:paraId="730591B4" w14:textId="77777777" w:rsidR="007A05BE" w:rsidRDefault="007A05BE">
    <w:pPr>
      <w:pStyle w:val="DocID"/>
    </w:pPr>
    <w:r>
      <w:fldChar w:fldCharType="begin"/>
    </w:r>
    <w:r>
      <w:instrText xml:space="preserve">  DOCPROPERTY "CUS_DocIDChunk0" </w:instrText>
    </w:r>
    <w:r>
      <w:fldChar w:fldCharType="separate"/>
    </w:r>
    <w:r>
      <w:rPr>
        <w:noProof/>
      </w:rPr>
      <w:t>4928-5119-6982_1</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6347" w14:textId="77777777" w:rsidR="007C52E3" w:rsidRDefault="007C52E3">
      <w:r>
        <w:separator/>
      </w:r>
    </w:p>
  </w:footnote>
  <w:footnote w:type="continuationSeparator" w:id="0">
    <w:p w14:paraId="1703736B" w14:textId="77777777" w:rsidR="007C52E3" w:rsidRDefault="007C5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554F" w14:textId="77777777" w:rsidR="00CA6414" w:rsidRDefault="00CA64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2A94D7" w14:textId="77777777" w:rsidR="00CA6414" w:rsidRDefault="00CA6414">
    <w:pPr>
      <w:pStyle w:val="Header"/>
      <w:ind w:right="360"/>
    </w:pPr>
  </w:p>
  <w:p w14:paraId="7C9CA71C" w14:textId="77777777" w:rsidR="00CA6414" w:rsidRDefault="00CA6414"/>
  <w:p w14:paraId="20C3E76B" w14:textId="77777777" w:rsidR="00CA6414" w:rsidRDefault="00CA64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C5B1" w14:textId="77777777" w:rsidR="007A05BE" w:rsidRDefault="007A0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B76F" w14:textId="6F714814" w:rsidR="0022307B" w:rsidRDefault="0022307B" w:rsidP="00403FE0">
    <w:pPr>
      <w:pStyle w:val="Header"/>
      <w:spacing w:after="240"/>
      <w:jc w:val="center"/>
      <w:rPr>
        <w:b/>
        <w:bCs/>
        <w:szCs w:val="24"/>
      </w:rPr>
    </w:pPr>
    <w:r>
      <w:rPr>
        <w:b/>
        <w:bCs/>
        <w:szCs w:val="24"/>
      </w:rPr>
      <w:t>[FRONT LOAD OPTION</w:t>
    </w:r>
    <w:r w:rsidR="00C57BBD">
      <w:rPr>
        <w:b/>
        <w:bCs/>
        <w:szCs w:val="24"/>
      </w:rPr>
      <w:t xml:space="preserve"> – SEPARATE VACATION / OTHER PAID TIME OFF POLICY</w:t>
    </w:r>
    <w:r>
      <w:rPr>
        <w:b/>
        <w:bCs/>
        <w:szCs w:val="24"/>
      </w:rPr>
      <w:t xml:space="preserve">]  </w:t>
    </w:r>
  </w:p>
  <w:p w14:paraId="50479244" w14:textId="1E7FEF4A" w:rsidR="00FB702D" w:rsidRDefault="00300770" w:rsidP="00FB702D">
    <w:pPr>
      <w:pStyle w:val="Header"/>
      <w:jc w:val="center"/>
      <w:rPr>
        <w:b/>
        <w:bCs/>
        <w:szCs w:val="24"/>
      </w:rPr>
    </w:pPr>
    <w:r>
      <w:rPr>
        <w:b/>
        <w:bCs/>
        <w:szCs w:val="24"/>
      </w:rPr>
      <w:t>Paid</w:t>
    </w:r>
    <w:r w:rsidR="00FB702D" w:rsidRPr="00FB702D">
      <w:rPr>
        <w:b/>
        <w:bCs/>
        <w:szCs w:val="24"/>
      </w:rPr>
      <w:t xml:space="preserve"> Time</w:t>
    </w:r>
    <w:r>
      <w:rPr>
        <w:b/>
        <w:bCs/>
        <w:szCs w:val="24"/>
      </w:rPr>
      <w:t xml:space="preserve"> Off</w:t>
    </w:r>
    <w:r w:rsidR="00FB702D" w:rsidRPr="00FB702D">
      <w:rPr>
        <w:b/>
        <w:bCs/>
        <w:szCs w:val="24"/>
      </w:rPr>
      <w:t xml:space="preserve"> </w:t>
    </w:r>
    <w:r>
      <w:rPr>
        <w:b/>
        <w:bCs/>
        <w:szCs w:val="24"/>
      </w:rPr>
      <w:t xml:space="preserve">(PTO) </w:t>
    </w:r>
    <w:r w:rsidR="00FB702D" w:rsidRPr="00FB702D">
      <w:rPr>
        <w:b/>
        <w:bCs/>
        <w:szCs w:val="24"/>
      </w:rPr>
      <w:t>Policy</w:t>
    </w:r>
  </w:p>
  <w:p w14:paraId="5FF290A5" w14:textId="77777777" w:rsidR="00FB702D" w:rsidRPr="00FB702D" w:rsidRDefault="00FB702D" w:rsidP="00FB702D">
    <w:pPr>
      <w:pStyle w:val="Header"/>
      <w:jc w:val="center"/>
      <w:rPr>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082E0CC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5F43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210F0720"/>
    <w:multiLevelType w:val="hybridMultilevel"/>
    <w:tmpl w:val="0960EB36"/>
    <w:lvl w:ilvl="0" w:tplc="69428C6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955E77"/>
    <w:multiLevelType w:val="hybridMultilevel"/>
    <w:tmpl w:val="805CBDD2"/>
    <w:lvl w:ilvl="0" w:tplc="6EC61EFE">
      <w:start w:val="1"/>
      <w:numFmt w:val="decimal"/>
      <w:pStyle w:val="ListNumb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C04A7F"/>
    <w:multiLevelType w:val="singleLevel"/>
    <w:tmpl w:val="F7504BFE"/>
    <w:lvl w:ilvl="0">
      <w:start w:val="1"/>
      <w:numFmt w:val="decimal"/>
      <w:pStyle w:val="ListNumber1"/>
      <w:lvlText w:val="%1."/>
      <w:lvlJc w:val="left"/>
      <w:pPr>
        <w:tabs>
          <w:tab w:val="num" w:pos="360"/>
        </w:tabs>
        <w:ind w:left="360" w:hanging="360"/>
      </w:pPr>
    </w:lvl>
  </w:abstractNum>
  <w:abstractNum w:abstractNumId="13" w15:restartNumberingAfterBreak="0">
    <w:nsid w:val="67032737"/>
    <w:multiLevelType w:val="multilevel"/>
    <w:tmpl w:val="340C13F6"/>
    <w:lvl w:ilvl="0">
      <w:start w:val="1"/>
      <w:numFmt w:val="decimal"/>
      <w:pStyle w:val="Heading1"/>
      <w:lvlText w:val="%1."/>
      <w:lvlJc w:val="left"/>
      <w:pPr>
        <w:tabs>
          <w:tab w:val="num" w:pos="720"/>
        </w:tabs>
        <w:ind w:left="720" w:hanging="720"/>
      </w:pPr>
      <w:rPr>
        <w:rFonts w:hint="default"/>
        <w:b w:val="0"/>
        <w:i w:val="0"/>
      </w:rPr>
    </w:lvl>
    <w:lvl w:ilvl="1">
      <w:start w:val="1"/>
      <w:numFmt w:val="lowerLetter"/>
      <w:pStyle w:val="Heading2"/>
      <w:lvlText w:val="(%2)"/>
      <w:lvlJc w:val="left"/>
      <w:pPr>
        <w:tabs>
          <w:tab w:val="num" w:pos="1440"/>
        </w:tabs>
        <w:ind w:left="1440" w:hanging="720"/>
      </w:pPr>
      <w:rPr>
        <w:rFonts w:hint="default"/>
      </w:rPr>
    </w:lvl>
    <w:lvl w:ilvl="2">
      <w:start w:val="1"/>
      <w:numFmt w:val="lowerRoman"/>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upperLetter"/>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decimal"/>
      <w:pStyle w:val="Heading8"/>
      <w:lvlText w:val="%8."/>
      <w:lvlJc w:val="left"/>
      <w:pPr>
        <w:tabs>
          <w:tab w:val="num" w:pos="5760"/>
        </w:tabs>
        <w:ind w:left="5760" w:hanging="720"/>
      </w:pPr>
      <w:rPr>
        <w:rFonts w:hint="default"/>
      </w:rPr>
    </w:lvl>
    <w:lvl w:ilvl="8">
      <w:start w:val="1"/>
      <w:numFmt w:val="lowerLetter"/>
      <w:pStyle w:val="Heading9"/>
      <w:lvlText w:val="%9."/>
      <w:lvlJc w:val="left"/>
      <w:pPr>
        <w:tabs>
          <w:tab w:val="num" w:pos="6480"/>
        </w:tabs>
        <w:ind w:left="6480" w:hanging="720"/>
      </w:pPr>
      <w:rPr>
        <w:rFonts w:hint="default"/>
      </w:rPr>
    </w:lvl>
  </w:abstractNum>
  <w:abstractNum w:abstractNumId="14" w15:restartNumberingAfterBreak="0">
    <w:nsid w:val="721B381A"/>
    <w:multiLevelType w:val="hybridMultilevel"/>
    <w:tmpl w:val="7636965C"/>
    <w:lvl w:ilvl="0" w:tplc="F588E45E">
      <w:start w:val="1"/>
      <w:numFmt w:val="decimal"/>
      <w:lvlText w:val="(%1)"/>
      <w:lvlJc w:val="lef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AFD184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80979879">
    <w:abstractNumId w:val="5"/>
  </w:num>
  <w:num w:numId="2" w16cid:durableId="1730150704">
    <w:abstractNumId w:val="4"/>
  </w:num>
  <w:num w:numId="3" w16cid:durableId="199055055">
    <w:abstractNumId w:val="3"/>
  </w:num>
  <w:num w:numId="4" w16cid:durableId="938804247">
    <w:abstractNumId w:val="2"/>
  </w:num>
  <w:num w:numId="5" w16cid:durableId="447430656">
    <w:abstractNumId w:val="1"/>
  </w:num>
  <w:num w:numId="6" w16cid:durableId="82725174">
    <w:abstractNumId w:val="0"/>
  </w:num>
  <w:num w:numId="7" w16cid:durableId="1185904502">
    <w:abstractNumId w:val="6"/>
  </w:num>
  <w:num w:numId="8" w16cid:durableId="773136232">
    <w:abstractNumId w:val="9"/>
  </w:num>
  <w:num w:numId="9" w16cid:durableId="849105570">
    <w:abstractNumId w:val="12"/>
  </w:num>
  <w:num w:numId="10" w16cid:durableId="129714062">
    <w:abstractNumId w:val="13"/>
  </w:num>
  <w:num w:numId="11" w16cid:durableId="756288523">
    <w:abstractNumId w:val="10"/>
  </w:num>
  <w:num w:numId="12" w16cid:durableId="1386493717">
    <w:abstractNumId w:val="11"/>
  </w:num>
  <w:num w:numId="13" w16cid:durableId="684476843">
    <w:abstractNumId w:val="15"/>
  </w:num>
  <w:num w:numId="14" w16cid:durableId="630669207">
    <w:abstractNumId w:val="7"/>
  </w:num>
  <w:num w:numId="15" w16cid:durableId="1467089054">
    <w:abstractNumId w:val="8"/>
  </w:num>
  <w:num w:numId="16" w16cid:durableId="18267046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2D"/>
    <w:rsid w:val="00003FC7"/>
    <w:rsid w:val="00026359"/>
    <w:rsid w:val="00050A27"/>
    <w:rsid w:val="000602BB"/>
    <w:rsid w:val="00070208"/>
    <w:rsid w:val="00081FA3"/>
    <w:rsid w:val="0019026D"/>
    <w:rsid w:val="001935C3"/>
    <w:rsid w:val="001964A4"/>
    <w:rsid w:val="0020562D"/>
    <w:rsid w:val="00213285"/>
    <w:rsid w:val="0022307B"/>
    <w:rsid w:val="00275DCF"/>
    <w:rsid w:val="002B4AC6"/>
    <w:rsid w:val="00300770"/>
    <w:rsid w:val="0030624C"/>
    <w:rsid w:val="00307137"/>
    <w:rsid w:val="003103FC"/>
    <w:rsid w:val="003141C7"/>
    <w:rsid w:val="003255BC"/>
    <w:rsid w:val="00335991"/>
    <w:rsid w:val="00356008"/>
    <w:rsid w:val="00385721"/>
    <w:rsid w:val="003C7262"/>
    <w:rsid w:val="003D003E"/>
    <w:rsid w:val="003F1EFA"/>
    <w:rsid w:val="00403FE0"/>
    <w:rsid w:val="00432059"/>
    <w:rsid w:val="004339F0"/>
    <w:rsid w:val="00562CE8"/>
    <w:rsid w:val="00634FC4"/>
    <w:rsid w:val="00653E5B"/>
    <w:rsid w:val="00654E12"/>
    <w:rsid w:val="006C2F83"/>
    <w:rsid w:val="006D5039"/>
    <w:rsid w:val="0076365A"/>
    <w:rsid w:val="007A05BE"/>
    <w:rsid w:val="007C52E3"/>
    <w:rsid w:val="007D3240"/>
    <w:rsid w:val="007F3B98"/>
    <w:rsid w:val="007F62EC"/>
    <w:rsid w:val="008020A5"/>
    <w:rsid w:val="00811B98"/>
    <w:rsid w:val="0082393C"/>
    <w:rsid w:val="008736FC"/>
    <w:rsid w:val="00883C6D"/>
    <w:rsid w:val="008A0920"/>
    <w:rsid w:val="00951D36"/>
    <w:rsid w:val="009536B2"/>
    <w:rsid w:val="00983586"/>
    <w:rsid w:val="009C0F86"/>
    <w:rsid w:val="009F6FCA"/>
    <w:rsid w:val="00A63282"/>
    <w:rsid w:val="00A87A79"/>
    <w:rsid w:val="00A91AE0"/>
    <w:rsid w:val="00AD40D2"/>
    <w:rsid w:val="00AD7F45"/>
    <w:rsid w:val="00AF7F20"/>
    <w:rsid w:val="00B421BC"/>
    <w:rsid w:val="00B577BE"/>
    <w:rsid w:val="00B654C2"/>
    <w:rsid w:val="00B943C1"/>
    <w:rsid w:val="00B95721"/>
    <w:rsid w:val="00BA4CCB"/>
    <w:rsid w:val="00BB5BA2"/>
    <w:rsid w:val="00BC73B7"/>
    <w:rsid w:val="00BD0F99"/>
    <w:rsid w:val="00C375D6"/>
    <w:rsid w:val="00C57BBD"/>
    <w:rsid w:val="00CA1723"/>
    <w:rsid w:val="00CA6414"/>
    <w:rsid w:val="00D04632"/>
    <w:rsid w:val="00D51A27"/>
    <w:rsid w:val="00D87071"/>
    <w:rsid w:val="00DB2470"/>
    <w:rsid w:val="00E96A79"/>
    <w:rsid w:val="00ED17C2"/>
    <w:rsid w:val="00F17256"/>
    <w:rsid w:val="00F4425F"/>
    <w:rsid w:val="00F902E7"/>
    <w:rsid w:val="00F94400"/>
    <w:rsid w:val="00FA6EA1"/>
    <w:rsid w:val="00FB3D78"/>
    <w:rsid w:val="00FB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189FE"/>
  <w15:docId w15:val="{617ED2D0-347A-415B-AA05-17BB4684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4C"/>
    <w:rPr>
      <w:sz w:val="24"/>
    </w:rPr>
  </w:style>
  <w:style w:type="paragraph" w:styleId="Heading1">
    <w:name w:val="heading 1"/>
    <w:basedOn w:val="Heading"/>
    <w:qFormat/>
    <w:pPr>
      <w:numPr>
        <w:numId w:val="10"/>
      </w:numPr>
      <w:tabs>
        <w:tab w:val="clear" w:pos="720"/>
      </w:tabs>
      <w:outlineLvl w:val="0"/>
    </w:pPr>
  </w:style>
  <w:style w:type="paragraph" w:styleId="Heading2">
    <w:name w:val="heading 2"/>
    <w:basedOn w:val="Heading"/>
    <w:qFormat/>
    <w:pPr>
      <w:numPr>
        <w:ilvl w:val="1"/>
        <w:numId w:val="10"/>
      </w:numPr>
      <w:tabs>
        <w:tab w:val="clear" w:pos="1440"/>
      </w:tabs>
      <w:outlineLvl w:val="1"/>
    </w:pPr>
  </w:style>
  <w:style w:type="paragraph" w:styleId="Heading3">
    <w:name w:val="heading 3"/>
    <w:basedOn w:val="Heading"/>
    <w:qFormat/>
    <w:pPr>
      <w:numPr>
        <w:ilvl w:val="2"/>
        <w:numId w:val="10"/>
      </w:numPr>
      <w:tabs>
        <w:tab w:val="clear" w:pos="2160"/>
      </w:tabs>
      <w:outlineLvl w:val="2"/>
    </w:pPr>
  </w:style>
  <w:style w:type="paragraph" w:styleId="Heading4">
    <w:name w:val="heading 4"/>
    <w:basedOn w:val="Heading"/>
    <w:next w:val="BodyTextBLLP"/>
    <w:qFormat/>
    <w:pPr>
      <w:numPr>
        <w:ilvl w:val="3"/>
        <w:numId w:val="10"/>
      </w:numPr>
      <w:tabs>
        <w:tab w:val="clear" w:pos="2880"/>
      </w:tabs>
      <w:outlineLvl w:val="3"/>
    </w:pPr>
  </w:style>
  <w:style w:type="paragraph" w:styleId="Heading5">
    <w:name w:val="heading 5"/>
    <w:basedOn w:val="Heading"/>
    <w:next w:val="BodyTextBLLP"/>
    <w:qFormat/>
    <w:pPr>
      <w:numPr>
        <w:ilvl w:val="4"/>
        <w:numId w:val="10"/>
      </w:numPr>
      <w:outlineLvl w:val="4"/>
    </w:pPr>
  </w:style>
  <w:style w:type="paragraph" w:styleId="Heading6">
    <w:name w:val="heading 6"/>
    <w:basedOn w:val="Heading"/>
    <w:next w:val="BodyTextBLLP"/>
    <w:qFormat/>
    <w:pPr>
      <w:numPr>
        <w:ilvl w:val="5"/>
        <w:numId w:val="10"/>
      </w:numPr>
      <w:outlineLvl w:val="5"/>
    </w:pPr>
  </w:style>
  <w:style w:type="paragraph" w:styleId="Heading7">
    <w:name w:val="heading 7"/>
    <w:basedOn w:val="Heading"/>
    <w:next w:val="BodyTextBLLP"/>
    <w:qFormat/>
    <w:pPr>
      <w:numPr>
        <w:ilvl w:val="6"/>
        <w:numId w:val="10"/>
      </w:numPr>
      <w:outlineLvl w:val="6"/>
    </w:pPr>
  </w:style>
  <w:style w:type="paragraph" w:styleId="Heading8">
    <w:name w:val="heading 8"/>
    <w:basedOn w:val="Heading"/>
    <w:next w:val="BodyTextBLLP"/>
    <w:qFormat/>
    <w:pPr>
      <w:numPr>
        <w:ilvl w:val="7"/>
        <w:numId w:val="10"/>
      </w:numPr>
      <w:outlineLvl w:val="7"/>
    </w:pPr>
  </w:style>
  <w:style w:type="paragraph" w:styleId="Heading9">
    <w:name w:val="heading 9"/>
    <w:basedOn w:val="Heading"/>
    <w:next w:val="BodyTextBLLP"/>
    <w:qFormat/>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after="240"/>
    </w:pPr>
  </w:style>
  <w:style w:type="paragraph" w:styleId="BodyText2">
    <w:name w:val="Body Text 2"/>
    <w:basedOn w:val="Normal"/>
  </w:style>
  <w:style w:type="paragraph" w:styleId="BodyText3">
    <w:name w:val="Body Text 3"/>
    <w:basedOn w:val="Normal"/>
  </w:style>
  <w:style w:type="paragraph" w:styleId="Caption">
    <w:name w:val="caption"/>
    <w:basedOn w:val="Normal"/>
    <w:next w:val="Normal"/>
    <w:qFormat/>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customStyle="1" w:styleId="Company">
    <w:name w:val="Company"/>
    <w:basedOn w:val="Normal"/>
    <w:pPr>
      <w:spacing w:after="240"/>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er">
    <w:name w:val="footer"/>
    <w:basedOn w:val="Normal"/>
    <w:pPr>
      <w:tabs>
        <w:tab w:val="center" w:pos="4680"/>
        <w:tab w:val="right" w:pos="9360"/>
      </w:tabs>
    </w:pPr>
    <w:rPr>
      <w:sz w:val="16"/>
    </w:rPr>
  </w:style>
  <w:style w:type="paragraph" w:styleId="FootnoteText">
    <w:name w:val="footnote text"/>
    <w:basedOn w:val="Normal"/>
    <w:pPr>
      <w:spacing w:after="120"/>
      <w:ind w:left="360" w:hanging="360"/>
    </w:pPr>
    <w:rPr>
      <w:sz w:val="20"/>
    </w:rPr>
  </w:style>
  <w:style w:type="paragraph" w:styleId="Header">
    <w:name w:val="header"/>
    <w:rPr>
      <w:noProof/>
      <w:sz w:val="24"/>
    </w:rPr>
  </w:style>
  <w:style w:type="paragraph" w:styleId="Index1">
    <w:name w:val="index 1"/>
    <w:basedOn w:val="Index"/>
    <w:next w:val="Normal"/>
    <w:autoRedefine/>
  </w:style>
  <w:style w:type="paragraph" w:customStyle="1" w:styleId="Index">
    <w:name w:val="Index"/>
    <w:basedOn w:val="Normal"/>
  </w:style>
  <w:style w:type="paragraph" w:styleId="Index2">
    <w:name w:val="index 2"/>
    <w:basedOn w:val="Index1"/>
    <w:next w:val="Normal"/>
    <w:autoRedefine/>
    <w:pPr>
      <w:ind w:left="360"/>
    </w:pPr>
  </w:style>
  <w:style w:type="paragraph" w:styleId="Index3">
    <w:name w:val="index 3"/>
    <w:basedOn w:val="Index2"/>
    <w:next w:val="Normal"/>
    <w:autoRedefine/>
    <w:pPr>
      <w:ind w:left="720"/>
    </w:pPr>
  </w:style>
  <w:style w:type="paragraph" w:styleId="Index4">
    <w:name w:val="index 4"/>
    <w:basedOn w:val="Index3"/>
    <w:next w:val="Normal"/>
    <w:autoRedefine/>
    <w:pPr>
      <w:ind w:left="1080"/>
    </w:pPr>
  </w:style>
  <w:style w:type="paragraph" w:styleId="Index5">
    <w:name w:val="index 5"/>
    <w:basedOn w:val="Index4"/>
    <w:next w:val="Normal"/>
    <w:autoRedefine/>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paragraph" w:styleId="ListContinue">
    <w:name w:val="List Continue"/>
    <w:basedOn w:val="Normal"/>
    <w:semiHidden/>
    <w:pPr>
      <w:spacing w:before="240"/>
    </w:pPr>
  </w:style>
  <w:style w:type="paragraph" w:styleId="ListContinue2">
    <w:name w:val="List Continue 2"/>
    <w:basedOn w:val="ListContinue"/>
    <w:semiHidden/>
    <w:pPr>
      <w:ind w:left="720"/>
    </w:pPr>
  </w:style>
  <w:style w:type="paragraph" w:styleId="ListContinue3">
    <w:name w:val="List Continue 3"/>
    <w:basedOn w:val="ListContinue"/>
    <w:semiHidden/>
    <w:pPr>
      <w:ind w:left="1440"/>
    </w:pPr>
  </w:style>
  <w:style w:type="paragraph" w:styleId="ListContinue4">
    <w:name w:val="List Continue 4"/>
    <w:basedOn w:val="ListContinue"/>
    <w:semiHidden/>
    <w:pPr>
      <w:ind w:left="2160"/>
    </w:pPr>
  </w:style>
  <w:style w:type="paragraph" w:styleId="ListContinue5">
    <w:name w:val="List Continue 5"/>
    <w:basedOn w:val="ListContinue"/>
    <w:semiHidden/>
    <w:pPr>
      <w:ind w:left="2880"/>
    </w:pPr>
  </w:style>
  <w:style w:type="character" w:styleId="PageNumber">
    <w:name w:val="page number"/>
    <w:basedOn w:val="DefaultParagraphFont"/>
    <w:rPr>
      <w:sz w:val="24"/>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after="240"/>
      <w:jc w:val="center"/>
    </w:pPr>
    <w:rPr>
      <w:b/>
    </w:rPr>
  </w:style>
  <w:style w:type="paragraph" w:styleId="TOAHeading">
    <w:name w:val="toa heading"/>
    <w:basedOn w:val="Normal"/>
    <w:next w:val="Normal"/>
    <w:semiHidden/>
    <w:pPr>
      <w:spacing w:after="120"/>
    </w:pPr>
    <w:rPr>
      <w:b/>
    </w:rPr>
  </w:style>
  <w:style w:type="paragraph" w:styleId="TOC2">
    <w:name w:val="toc 2"/>
    <w:basedOn w:val="TOC1"/>
    <w:autoRedefine/>
    <w:pPr>
      <w:spacing w:before="0"/>
      <w:ind w:left="720" w:right="720"/>
    </w:pPr>
  </w:style>
  <w:style w:type="paragraph" w:styleId="TOC1">
    <w:name w:val="toc 1"/>
    <w:basedOn w:val="Normal"/>
    <w:autoRedefine/>
    <w:pPr>
      <w:tabs>
        <w:tab w:val="decimal" w:leader="dot" w:pos="9360"/>
      </w:tabs>
      <w:spacing w:before="240"/>
      <w:ind w:left="360" w:hanging="360"/>
    </w:pPr>
    <w:rPr>
      <w:b/>
    </w:rPr>
  </w:style>
  <w:style w:type="paragraph" w:styleId="TOC3">
    <w:name w:val="toc 3"/>
    <w:basedOn w:val="TOC2"/>
    <w:autoRedefine/>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ListBullet">
    <w:name w:val="List Bullet"/>
    <w:basedOn w:val="Normal"/>
    <w:autoRedefine/>
    <w:pPr>
      <w:numPr>
        <w:numId w:val="11"/>
      </w:numPr>
    </w:pPr>
  </w:style>
  <w:style w:type="paragraph" w:styleId="ListBullet3">
    <w:name w:val="List Bullet 3"/>
    <w:basedOn w:val="Normal"/>
    <w:autoRedefine/>
    <w:pPr>
      <w:numPr>
        <w:numId w:val="1"/>
      </w:numPr>
      <w:tabs>
        <w:tab w:val="clear" w:pos="1080"/>
      </w:tabs>
      <w:ind w:left="2160" w:hanging="720"/>
    </w:pPr>
  </w:style>
  <w:style w:type="paragraph" w:styleId="ListBullet4">
    <w:name w:val="List Bullet 4"/>
    <w:basedOn w:val="Normal"/>
    <w:autoRedefine/>
    <w:pPr>
      <w:numPr>
        <w:numId w:val="2"/>
      </w:numPr>
      <w:tabs>
        <w:tab w:val="clear" w:pos="1440"/>
      </w:tabs>
      <w:ind w:left="2880" w:hanging="720"/>
    </w:pPr>
  </w:style>
  <w:style w:type="paragraph" w:styleId="ListBullet5">
    <w:name w:val="List Bullet 5"/>
    <w:basedOn w:val="Normal"/>
    <w:autoRedefine/>
    <w:semiHidden/>
    <w:pPr>
      <w:numPr>
        <w:numId w:val="3"/>
      </w:numPr>
      <w:tabs>
        <w:tab w:val="clear" w:pos="1800"/>
      </w:tabs>
      <w:ind w:left="3600" w:hanging="720"/>
    </w:pPr>
  </w:style>
  <w:style w:type="paragraph" w:styleId="ListNumber3">
    <w:name w:val="List Number 3"/>
    <w:basedOn w:val="ListNumber"/>
    <w:semiHidden/>
    <w:pPr>
      <w:numPr>
        <w:numId w:val="4"/>
      </w:numPr>
      <w:tabs>
        <w:tab w:val="clear" w:pos="1080"/>
      </w:tabs>
      <w:ind w:left="2160" w:hanging="720"/>
    </w:pPr>
  </w:style>
  <w:style w:type="paragraph" w:styleId="ListNumber">
    <w:name w:val="List Number"/>
    <w:basedOn w:val="Normal"/>
    <w:semiHidden/>
    <w:pPr>
      <w:numPr>
        <w:numId w:val="12"/>
      </w:numPr>
    </w:pPr>
  </w:style>
  <w:style w:type="paragraph" w:styleId="ListNumber4">
    <w:name w:val="List Number 4"/>
    <w:basedOn w:val="ListNumber"/>
    <w:semiHidden/>
    <w:pPr>
      <w:numPr>
        <w:numId w:val="5"/>
      </w:numPr>
      <w:tabs>
        <w:tab w:val="clear" w:pos="1440"/>
      </w:tabs>
      <w:ind w:left="2880" w:hanging="720"/>
    </w:pPr>
  </w:style>
  <w:style w:type="paragraph" w:styleId="ListNumber5">
    <w:name w:val="List Number 5"/>
    <w:basedOn w:val="ListNumber"/>
    <w:semiHidden/>
    <w:pPr>
      <w:numPr>
        <w:numId w:val="6"/>
      </w:numPr>
      <w:tabs>
        <w:tab w:val="clear" w:pos="1800"/>
      </w:tabs>
      <w:ind w:left="3600" w:hanging="720"/>
    </w:pPr>
  </w:style>
  <w:style w:type="paragraph" w:styleId="NoteHeading">
    <w:name w:val="Note Heading"/>
    <w:basedOn w:val="Normal"/>
    <w:next w:val="Normal"/>
  </w:style>
  <w:style w:type="paragraph" w:styleId="TOC9">
    <w:name w:val="toc 9"/>
    <w:basedOn w:val="TOC8"/>
    <w:next w:val="Normal"/>
    <w:autoRedefine/>
    <w:semiHidden/>
    <w:pPr>
      <w:ind w:left="3240"/>
    </w:pPr>
  </w:style>
  <w:style w:type="paragraph" w:styleId="TOC8">
    <w:name w:val="toc 8"/>
    <w:basedOn w:val="TOC7"/>
    <w:next w:val="Normal"/>
    <w:autoRedefine/>
    <w:semiHidden/>
    <w:pPr>
      <w:ind w:left="2880"/>
    </w:pPr>
  </w:style>
  <w:style w:type="paragraph" w:styleId="TOC7">
    <w:name w:val="toc 7"/>
    <w:basedOn w:val="TOC6"/>
    <w:next w:val="Normal"/>
    <w:autoRedefine/>
    <w:semiHidden/>
    <w:pPr>
      <w:ind w:left="2520"/>
    </w:pPr>
  </w:style>
  <w:style w:type="paragraph" w:styleId="TOC6">
    <w:name w:val="toc 6"/>
    <w:basedOn w:val="TOC5"/>
    <w:next w:val="Normal"/>
    <w:autoRedefine/>
    <w:semiHidden/>
    <w:pPr>
      <w:ind w:left="2160"/>
    </w:pPr>
  </w:style>
  <w:style w:type="paragraph" w:styleId="Salutation">
    <w:name w:val="Salutation"/>
    <w:basedOn w:val="Normal"/>
    <w:next w:val="Normal"/>
  </w:style>
  <w:style w:type="paragraph" w:styleId="ListNumber2">
    <w:name w:val="List Number 2"/>
    <w:basedOn w:val="ListNumber"/>
    <w:semiHidden/>
    <w:pPr>
      <w:numPr>
        <w:numId w:val="0"/>
      </w:numPr>
      <w:tabs>
        <w:tab w:val="num" w:pos="1800"/>
      </w:tabs>
      <w:ind w:left="1440" w:hanging="720"/>
    </w:pPr>
  </w:style>
  <w:style w:type="paragraph" w:styleId="List5">
    <w:name w:val="List 5"/>
    <w:basedOn w:val="List4"/>
    <w:semiHidden/>
    <w:pPr>
      <w:ind w:left="3600"/>
    </w:pPr>
  </w:style>
  <w:style w:type="paragraph" w:styleId="List4">
    <w:name w:val="List 4"/>
    <w:basedOn w:val="List3"/>
    <w:semiHidden/>
    <w:pPr>
      <w:ind w:left="2880"/>
    </w:pPr>
  </w:style>
  <w:style w:type="paragraph" w:styleId="List3">
    <w:name w:val="List 3"/>
    <w:basedOn w:val="List2"/>
    <w:semiHidden/>
    <w:pPr>
      <w:ind w:left="2160"/>
    </w:pPr>
  </w:style>
  <w:style w:type="paragraph" w:styleId="List2">
    <w:name w:val="List 2"/>
    <w:basedOn w:val="List1"/>
    <w:semiHidden/>
    <w:pPr>
      <w:ind w:left="1440"/>
    </w:pPr>
  </w:style>
  <w:style w:type="paragraph" w:customStyle="1" w:styleId="List1">
    <w:name w:val="List 1"/>
    <w:basedOn w:val="List"/>
    <w:semiHidden/>
    <w:pPr>
      <w:ind w:left="720" w:hanging="720"/>
    </w:pPr>
  </w:style>
  <w:style w:type="paragraph" w:styleId="List">
    <w:name w:val="List"/>
    <w:basedOn w:val="Normal"/>
    <w:semiHidden/>
  </w:style>
  <w:style w:type="paragraph" w:styleId="Date">
    <w:name w:val="Date"/>
    <w:basedOn w:val="Normal"/>
    <w:next w:val="Normal"/>
  </w:style>
  <w:style w:type="paragraph" w:styleId="ListBullet2">
    <w:name w:val="List Bullet 2"/>
    <w:basedOn w:val="Normal"/>
    <w:autoRedefine/>
    <w:pPr>
      <w:numPr>
        <w:numId w:val="7"/>
      </w:numPr>
      <w:tabs>
        <w:tab w:val="clear" w:pos="720"/>
      </w:tabs>
      <w:ind w:left="1440" w:hanging="720"/>
    </w:pPr>
  </w:style>
  <w:style w:type="paragraph" w:styleId="Subtitle">
    <w:name w:val="Subtitle"/>
    <w:basedOn w:val="Normal"/>
    <w:qFormat/>
    <w:pPr>
      <w:spacing w:after="60"/>
      <w:jc w:val="center"/>
    </w:pPr>
  </w:style>
  <w:style w:type="paragraph" w:styleId="Signature">
    <w:name w:val="Signature"/>
    <w:basedOn w:val="Normal"/>
    <w:pPr>
      <w:ind w:left="4320"/>
    </w:pPr>
  </w:style>
  <w:style w:type="paragraph" w:customStyle="1" w:styleId="Address">
    <w:name w:val="Address"/>
    <w:basedOn w:val="Normal"/>
    <w:next w:val="Normal"/>
  </w:style>
  <w:style w:type="paragraph" w:customStyle="1" w:styleId="ccList">
    <w:name w:val="cc List"/>
    <w:basedOn w:val="Normal"/>
    <w:next w:val="Normal"/>
  </w:style>
  <w:style w:type="paragraph" w:customStyle="1" w:styleId="Enclosure">
    <w:name w:val="Enclosure"/>
    <w:basedOn w:val="Normal"/>
    <w:next w:val="Normal"/>
    <w:pPr>
      <w:spacing w:after="240"/>
    </w:pPr>
  </w:style>
  <w:style w:type="paragraph" w:customStyle="1" w:styleId="Initials">
    <w:name w:val="Initials"/>
    <w:basedOn w:val="Normal"/>
    <w:next w:val="Normal"/>
    <w:pPr>
      <w:spacing w:after="240"/>
    </w:pPr>
  </w:style>
  <w:style w:type="paragraph" w:customStyle="1" w:styleId="Privacy">
    <w:name w:val="Privacy"/>
    <w:basedOn w:val="Normal"/>
    <w:next w:val="Normal"/>
    <w:semiHidden/>
    <w:pPr>
      <w:spacing w:before="240" w:after="240"/>
      <w:jc w:val="center"/>
    </w:pPr>
    <w:rPr>
      <w:b/>
    </w:rPr>
  </w:style>
  <w:style w:type="paragraph" w:customStyle="1" w:styleId="ReLine">
    <w:name w:val="Re Line"/>
    <w:basedOn w:val="Normal"/>
    <w:next w:val="Normal"/>
    <w:pPr>
      <w:spacing w:before="240" w:after="240"/>
      <w:ind w:left="2880" w:hanging="1440"/>
    </w:pPr>
  </w:style>
  <w:style w:type="paragraph" w:customStyle="1" w:styleId="QuoteContinued">
    <w:name w:val="Quote Continued"/>
    <w:basedOn w:val="BodyTextBLLP"/>
    <w:next w:val="BodyTextBLLP"/>
    <w:pPr>
      <w:ind w:firstLine="0"/>
    </w:pPr>
  </w:style>
  <w:style w:type="paragraph" w:customStyle="1" w:styleId="BodyTextBLLP">
    <w:name w:val="Body Text BLLP"/>
    <w:basedOn w:val="Normal"/>
    <w:link w:val="BodyTextBLLPChar"/>
    <w:rsid w:val="009C0F86"/>
    <w:pPr>
      <w:spacing w:after="240"/>
      <w:ind w:firstLine="720"/>
      <w:jc w:val="both"/>
    </w:pPr>
  </w:style>
  <w:style w:type="character" w:styleId="CommentReference">
    <w:name w:val="annotation reference"/>
    <w:basedOn w:val="DefaultParagraphFont"/>
    <w:semiHidden/>
    <w:rPr>
      <w:rFonts w:ascii="Times New Roman" w:hAnsi="Times New Roman"/>
      <w:color w:val="FF0000"/>
      <w:sz w:val="16"/>
    </w:rPr>
  </w:style>
  <w:style w:type="paragraph" w:customStyle="1" w:styleId="FooterLandscape">
    <w:name w:val="Footer Landscape"/>
    <w:basedOn w:val="Normal"/>
    <w:pPr>
      <w:tabs>
        <w:tab w:val="center" w:pos="6480"/>
        <w:tab w:val="right" w:pos="12960"/>
      </w:tabs>
    </w:pPr>
  </w:style>
  <w:style w:type="paragraph" w:customStyle="1" w:styleId="HeaderLandscape">
    <w:name w:val="Header Landscape"/>
    <w:basedOn w:val="Normal"/>
    <w:pPr>
      <w:tabs>
        <w:tab w:val="center" w:pos="6480"/>
        <w:tab w:val="right" w:pos="12960"/>
      </w:tabs>
    </w:pPr>
  </w:style>
  <w:style w:type="paragraph" w:customStyle="1" w:styleId="BelowDate">
    <w:name w:val="BelowDate"/>
    <w:basedOn w:val="Normal"/>
    <w:semiHidden/>
    <w:pPr>
      <w:framePr w:hSpace="187" w:wrap="notBeside" w:vAnchor="page" w:hAnchor="text" w:xAlign="center" w:y="3241"/>
      <w:jc w:val="center"/>
    </w:pPr>
  </w:style>
  <w:style w:type="character" w:styleId="FootnoteReference">
    <w:name w:val="footnote reference"/>
    <w:basedOn w:val="DefaultParagraphFont"/>
    <w:rPr>
      <w:color w:val="auto"/>
      <w:position w:val="6"/>
      <w:sz w:val="18"/>
    </w:rPr>
  </w:style>
  <w:style w:type="paragraph" w:customStyle="1" w:styleId="heading1notoc">
    <w:name w:val="heading 1 (no toc)"/>
    <w:basedOn w:val="Heading1"/>
    <w:next w:val="BodyTextBLLP"/>
    <w:pPr>
      <w:outlineLvl w:val="9"/>
    </w:pPr>
  </w:style>
  <w:style w:type="paragraph" w:customStyle="1" w:styleId="heading2notoc">
    <w:name w:val="heading 2 (no toc)"/>
    <w:basedOn w:val="Heading2"/>
    <w:next w:val="BodyTextBLLP"/>
    <w:pPr>
      <w:outlineLvl w:val="9"/>
    </w:pPr>
  </w:style>
  <w:style w:type="paragraph" w:customStyle="1" w:styleId="heading3notoc">
    <w:name w:val="heading 3 (no toc)"/>
    <w:basedOn w:val="Heading3"/>
    <w:next w:val="BodyTextBLLP"/>
    <w:pPr>
      <w:outlineLvl w:val="9"/>
    </w:pPr>
  </w:style>
  <w:style w:type="paragraph" w:customStyle="1" w:styleId="heading4notoc">
    <w:name w:val="heading 4 (no toc)"/>
    <w:basedOn w:val="Heading4"/>
    <w:next w:val="BodyTextBLLP"/>
    <w:pPr>
      <w:outlineLvl w:val="9"/>
    </w:pPr>
  </w:style>
  <w:style w:type="paragraph" w:customStyle="1" w:styleId="heading5notoc">
    <w:name w:val="heading 5 (no toc)"/>
    <w:basedOn w:val="Heading5"/>
    <w:next w:val="BodyTextBLLP"/>
    <w:pPr>
      <w:outlineLvl w:val="9"/>
    </w:pPr>
  </w:style>
  <w:style w:type="character" w:styleId="LineNumber">
    <w:name w:val="line number"/>
    <w:basedOn w:val="DefaultParagraphFont"/>
  </w:style>
  <w:style w:type="paragraph" w:customStyle="1" w:styleId="List1d">
    <w:name w:val="List 1.d"/>
    <w:basedOn w:val="List1"/>
    <w:semiHidden/>
    <w:pPr>
      <w:tabs>
        <w:tab w:val="decimal" w:pos="1080"/>
      </w:tabs>
      <w:ind w:left="1440" w:hanging="1440"/>
    </w:pPr>
  </w:style>
  <w:style w:type="paragraph" w:customStyle="1" w:styleId="List2d">
    <w:name w:val="List 2.d"/>
    <w:basedOn w:val="List2"/>
    <w:semiHidden/>
    <w:pPr>
      <w:tabs>
        <w:tab w:val="decimal" w:pos="1800"/>
      </w:tabs>
      <w:ind w:left="2160" w:hanging="1440"/>
    </w:pPr>
  </w:style>
  <w:style w:type="paragraph" w:customStyle="1" w:styleId="List3d">
    <w:name w:val="List 3.d"/>
    <w:basedOn w:val="List3"/>
    <w:semiHidden/>
    <w:pPr>
      <w:tabs>
        <w:tab w:val="decimal" w:pos="2520"/>
      </w:tabs>
      <w:ind w:left="2880" w:hanging="1440"/>
    </w:pPr>
  </w:style>
  <w:style w:type="paragraph" w:customStyle="1" w:styleId="List4d">
    <w:name w:val="List 4.d"/>
    <w:basedOn w:val="List4"/>
    <w:semiHidden/>
    <w:pPr>
      <w:tabs>
        <w:tab w:val="decimal" w:pos="3240"/>
      </w:tabs>
      <w:ind w:left="3600" w:hanging="1440"/>
    </w:pPr>
  </w:style>
  <w:style w:type="paragraph" w:customStyle="1" w:styleId="List5d">
    <w:name w:val="List 5.d"/>
    <w:basedOn w:val="List5"/>
    <w:semiHidden/>
    <w:pPr>
      <w:tabs>
        <w:tab w:val="decimal" w:pos="3960"/>
      </w:tabs>
      <w:ind w:left="4320" w:hanging="14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Plain">
    <w:name w:val="Plain"/>
    <w:semiHidden/>
    <w:pPr>
      <w:spacing w:line="240" w:lineRule="exact"/>
    </w:pPr>
    <w:rPr>
      <w:sz w:val="24"/>
    </w:rPr>
  </w:style>
  <w:style w:type="paragraph" w:customStyle="1" w:styleId="Quote1">
    <w:name w:val="Quote1"/>
    <w:basedOn w:val="Normal"/>
    <w:next w:val="QuoteContinued"/>
    <w:pPr>
      <w:spacing w:after="240"/>
      <w:ind w:left="1440" w:right="1440"/>
    </w:pPr>
  </w:style>
  <w:style w:type="paragraph" w:customStyle="1" w:styleId="QuoteDoubleSpace">
    <w:name w:val="Quote DoubleSpace"/>
    <w:basedOn w:val="Quote1"/>
    <w:next w:val="QuoteContinued"/>
    <w:pPr>
      <w:spacing w:after="0" w:line="480" w:lineRule="auto"/>
    </w:pPr>
  </w:style>
  <w:style w:type="paragraph" w:customStyle="1" w:styleId="RecipientTitle">
    <w:name w:val="RecipientTitle"/>
    <w:basedOn w:val="Normal"/>
  </w:style>
  <w:style w:type="paragraph" w:customStyle="1" w:styleId="Recital">
    <w:name w:val="Recital"/>
    <w:basedOn w:val="Normal"/>
    <w:next w:val="Normal"/>
    <w:pPr>
      <w:spacing w:before="480" w:after="240"/>
      <w:jc w:val="center"/>
    </w:pPr>
    <w:rPr>
      <w:caps/>
      <w:u w:val="words"/>
    </w:rPr>
  </w:style>
  <w:style w:type="paragraph" w:styleId="DocumentMap">
    <w:name w:val="Document Map"/>
    <w:basedOn w:val="Normal"/>
    <w:semiHidden/>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semiHidden/>
    <w:rPr>
      <w:color w:val="800080"/>
      <w:u w:val="single"/>
    </w:rPr>
  </w:style>
  <w:style w:type="paragraph" w:customStyle="1" w:styleId="ListBullet1">
    <w:name w:val="List Bullet 1"/>
    <w:basedOn w:val="Normal"/>
    <w:autoRedefine/>
    <w:pPr>
      <w:numPr>
        <w:numId w:val="8"/>
      </w:numPr>
      <w:tabs>
        <w:tab w:val="clear" w:pos="360"/>
      </w:tabs>
      <w:ind w:left="720" w:hanging="720"/>
    </w:pPr>
  </w:style>
  <w:style w:type="paragraph" w:customStyle="1" w:styleId="ListNumber1">
    <w:name w:val="List Number 1"/>
    <w:basedOn w:val="ListNumber"/>
    <w:semiHidden/>
    <w:pPr>
      <w:numPr>
        <w:numId w:val="9"/>
      </w:numPr>
      <w:tabs>
        <w:tab w:val="clear" w:pos="360"/>
      </w:tabs>
      <w:ind w:left="720" w:hanging="720"/>
    </w:pPr>
  </w:style>
  <w:style w:type="character" w:styleId="Hyperlink">
    <w:name w:val="Hyperlink"/>
    <w:basedOn w:val="DefaultParagraphFont"/>
    <w:uiPriority w:val="99"/>
    <w:rPr>
      <w:color w:val="0000FF"/>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styleId="Strong">
    <w:name w:val="Strong"/>
    <w:basedOn w:val="DefaultParagraphFont"/>
    <w:qFormat/>
    <w:rPr>
      <w:b/>
    </w:rPr>
  </w:style>
  <w:style w:type="paragraph" w:styleId="PlainText">
    <w:name w:val="Plain Text"/>
    <w:basedOn w:val="Normal"/>
    <w:semiHidden/>
    <w:rPr>
      <w:rFonts w:ascii="Courier New" w:hAnsi="Courier New"/>
      <w:sz w:val="20"/>
    </w:rPr>
  </w:style>
  <w:style w:type="paragraph" w:customStyle="1" w:styleId="DocID">
    <w:name w:val="DocID"/>
    <w:basedOn w:val="Footer"/>
    <w:next w:val="Footer"/>
    <w:link w:val="DocIDChar"/>
    <w:rsid w:val="001935C3"/>
    <w:pPr>
      <w:tabs>
        <w:tab w:val="clear" w:pos="4680"/>
        <w:tab w:val="clear" w:pos="9360"/>
      </w:tabs>
      <w:jc w:val="right"/>
    </w:pPr>
    <w:rPr>
      <w:sz w:val="18"/>
    </w:rPr>
  </w:style>
  <w:style w:type="character" w:customStyle="1" w:styleId="ParaNum">
    <w:name w:val="ParaNum"/>
    <w:basedOn w:val="DefaultParagraphFont"/>
  </w:style>
  <w:style w:type="paragraph" w:customStyle="1" w:styleId="Singlespace">
    <w:name w:val="Singlespace"/>
    <w:aliases w:val="ss"/>
    <w:basedOn w:val="Normal"/>
  </w:style>
  <w:style w:type="paragraph" w:customStyle="1" w:styleId="Centerbold">
    <w:name w:val="Centerbold"/>
    <w:basedOn w:val="Normal"/>
    <w:pPr>
      <w:spacing w:after="240"/>
      <w:jc w:val="center"/>
    </w:pPr>
    <w:rPr>
      <w:b/>
    </w:rPr>
  </w:style>
  <w:style w:type="numbering" w:styleId="111111">
    <w:name w:val="Outline List 2"/>
    <w:basedOn w:val="NoList"/>
    <w:semiHidden/>
    <w:pPr>
      <w:numPr>
        <w:numId w:val="13"/>
      </w:numPr>
    </w:pPr>
  </w:style>
  <w:style w:type="numbering" w:styleId="1ai">
    <w:name w:val="Outline List 1"/>
    <w:basedOn w:val="NoList"/>
    <w:semiHidden/>
    <w:pPr>
      <w:numPr>
        <w:numId w:val="14"/>
      </w:numPr>
    </w:pPr>
  </w:style>
  <w:style w:type="numbering" w:styleId="ArticleSection">
    <w:name w:val="Outline List 3"/>
    <w:basedOn w:val="NoList"/>
    <w:semiHidden/>
    <w:pPr>
      <w:numPr>
        <w:numId w:val="15"/>
      </w:numPr>
    </w:pPr>
  </w:style>
  <w:style w:type="paragraph" w:styleId="E-mailSignature">
    <w:name w:val="E-mail Signature"/>
    <w:basedOn w:val="Normal"/>
    <w:semiHidden/>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paragraph" w:styleId="NormalWeb">
    <w:name w:val="Normal (Web)"/>
    <w:basedOn w:val="Normal"/>
    <w:semiHidden/>
    <w:rPr>
      <w:szCs w:val="24"/>
    </w:rPr>
  </w:style>
  <w:style w:type="paragraph" w:styleId="NormalIndent">
    <w:name w:val="Normal Indent"/>
    <w:basedOn w:val="Normal"/>
    <w:semiHidden/>
    <w:pPr>
      <w:ind w:left="720"/>
    </w:p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
    <w:name w:val="Comment Text Char"/>
    <w:basedOn w:val="DefaultParagraphFont"/>
    <w:link w:val="CommentText"/>
    <w:semiHidden/>
    <w:rsid w:val="0030624C"/>
    <w:rPr>
      <w:sz w:val="24"/>
    </w:rPr>
  </w:style>
  <w:style w:type="paragraph" w:customStyle="1" w:styleId="Wireinstructions">
    <w:name w:val="Wire instructions"/>
    <w:basedOn w:val="Normal"/>
    <w:rsid w:val="00ED17C2"/>
    <w:rPr>
      <w:sz w:val="18"/>
      <w:szCs w:val="24"/>
    </w:rPr>
  </w:style>
  <w:style w:type="paragraph" w:styleId="Revision">
    <w:name w:val="Revision"/>
    <w:hidden/>
    <w:uiPriority w:val="99"/>
    <w:semiHidden/>
    <w:rsid w:val="0022307B"/>
    <w:rPr>
      <w:sz w:val="24"/>
    </w:rPr>
  </w:style>
  <w:style w:type="character" w:customStyle="1" w:styleId="BodyTextBLLPChar">
    <w:name w:val="Body Text BLLP Char"/>
    <w:basedOn w:val="DefaultParagraphFont"/>
    <w:link w:val="BodyTextBLLP"/>
    <w:rsid w:val="001935C3"/>
    <w:rPr>
      <w:sz w:val="24"/>
    </w:rPr>
  </w:style>
  <w:style w:type="character" w:customStyle="1" w:styleId="DocIDChar">
    <w:name w:val="DocID Char"/>
    <w:basedOn w:val="BodyTextBLLPChar"/>
    <w:link w:val="DocID"/>
    <w:rsid w:val="001935C3"/>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338907">
      <w:bodyDiv w:val="1"/>
      <w:marLeft w:val="0"/>
      <w:marRight w:val="0"/>
      <w:marTop w:val="0"/>
      <w:marBottom w:val="0"/>
      <w:divBdr>
        <w:top w:val="none" w:sz="0" w:space="0" w:color="auto"/>
        <w:left w:val="none" w:sz="0" w:space="0" w:color="auto"/>
        <w:bottom w:val="none" w:sz="0" w:space="0" w:color="auto"/>
        <w:right w:val="none" w:sz="0" w:space="0" w:color="auto"/>
      </w:divBdr>
    </w:div>
    <w:div w:id="136814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graves@bodmanlaw.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Template>
  <TotalTime>2</TotalTime>
  <Pages>2</Pages>
  <Words>613</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Blank document-portrait</vt:lpstr>
    </vt:vector>
  </TitlesOfParts>
  <Company>TechLaw, Inc. (Bodman PLC)</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document-portrait</dc:title>
  <dc:creator>Clark, Mackenzie</dc:creator>
  <cp:lastModifiedBy>Graves, Aaron</cp:lastModifiedBy>
  <cp:revision>4</cp:revision>
  <dcterms:created xsi:type="dcterms:W3CDTF">2025-04-14T15:04:00Z</dcterms:created>
  <dcterms:modified xsi:type="dcterms:W3CDTF">2025-06-06T17:35:00Z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String">
    <vt:lpwstr>4928-5119-6982_1</vt:lpwstr>
  </property>
  <property fmtid="{D5CDD505-2E9C-101B-9397-08002B2CF9AE}" pid="4" name="CUS_DocIDChunk0">
    <vt:lpwstr>4928-5119-6982_1</vt:lpwstr>
  </property>
  <property fmtid="{D5CDD505-2E9C-101B-9397-08002B2CF9AE}" pid="5" name="CUS_DocIDActiveBits">
    <vt:lpwstr>98304</vt:lpwstr>
  </property>
  <property fmtid="{D5CDD505-2E9C-101B-9397-08002B2CF9AE}" pid="6" name="CUS_DocIDLocation">
    <vt:lpwstr>EVERY_PAGE</vt:lpwstr>
  </property>
  <property fmtid="{D5CDD505-2E9C-101B-9397-08002B2CF9AE}" pid="7" name="CUS_DocIDReference">
    <vt:lpwstr>everyPage</vt:lpwstr>
  </property>
</Properties>
</file>